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1036" w14:textId="08C35075" w:rsidR="00E87669" w:rsidRDefault="00E87669" w:rsidP="00AA2F8F">
      <w:pPr>
        <w:jc w:val="center"/>
        <w:rPr>
          <w:rFonts w:ascii="宋体" w:eastAsia="宋体" w:hAnsi="宋体"/>
          <w:sz w:val="44"/>
          <w:szCs w:val="44"/>
        </w:rPr>
      </w:pPr>
      <w:r w:rsidRPr="00AA2F8F">
        <w:rPr>
          <w:rFonts w:ascii="宋体" w:eastAsia="宋体" w:hAnsi="宋体" w:hint="eastAsia"/>
          <w:sz w:val="44"/>
          <w:szCs w:val="44"/>
        </w:rPr>
        <w:t>【雪球系列】雪球产品的主要交易要素</w:t>
      </w:r>
    </w:p>
    <w:p w14:paraId="47F24D7A" w14:textId="77777777" w:rsidR="00AA2F8F" w:rsidRPr="00AA2F8F" w:rsidRDefault="00AA2F8F" w:rsidP="00AA2F8F">
      <w:pPr>
        <w:jc w:val="center"/>
        <w:rPr>
          <w:rFonts w:ascii="宋体" w:eastAsia="宋体" w:hAnsi="宋体"/>
          <w:sz w:val="44"/>
          <w:szCs w:val="44"/>
        </w:rPr>
      </w:pPr>
    </w:p>
    <w:p w14:paraId="2F1C138F" w14:textId="44D7DEE0" w:rsidR="00AA2F8F" w:rsidRDefault="00E87669" w:rsidP="00AA2F8F">
      <w:pPr>
        <w:ind w:firstLine="645"/>
        <w:rPr>
          <w:rFonts w:ascii="仿宋_GB2312" w:eastAsia="仿宋_GB2312"/>
          <w:sz w:val="32"/>
          <w:szCs w:val="32"/>
        </w:rPr>
      </w:pPr>
      <w:r w:rsidRPr="00AA2F8F">
        <w:rPr>
          <w:rFonts w:ascii="仿宋_GB2312" w:eastAsia="仿宋_GB2312" w:hint="eastAsia"/>
          <w:sz w:val="32"/>
          <w:szCs w:val="32"/>
        </w:rPr>
        <w:t>雪球产品通常包括雪球结构期权和内嵌雪球结构期权的结构化产品，其本质上表现为带障碍条款的奇异期权，设置有敲入、敲出价格。投资者购买雪球结构本质类似卖出奇异看跌期权、并获取期权费，标的可挂钩指数、个股、商品等，是一种高风险的投资产品。简单来说，投资者购买雪球型产品，是证券公司与投资者约定了一个高额的年化收益率，并和投资者约定只有在特定日期触发特定条件的前提下才能进行兑付的产品。</w:t>
      </w:r>
    </w:p>
    <w:p w14:paraId="4B0D4DD8" w14:textId="4C178212" w:rsidR="006F6459" w:rsidRDefault="00E87669" w:rsidP="006F6459">
      <w:pPr>
        <w:ind w:firstLine="645"/>
        <w:rPr>
          <w:rFonts w:ascii="仿宋_GB2312" w:eastAsia="仿宋_GB2312"/>
          <w:sz w:val="32"/>
          <w:szCs w:val="32"/>
        </w:rPr>
      </w:pPr>
      <w:r w:rsidRPr="00AA2F8F">
        <w:rPr>
          <w:rFonts w:ascii="仿宋_GB2312" w:eastAsia="仿宋_GB2312" w:hint="eastAsia"/>
          <w:sz w:val="32"/>
          <w:szCs w:val="32"/>
        </w:rPr>
        <w:t>投资者在选择雪球产品时，应当特别注意雪球产品的各项交易要素，这些要素直都接影响着投资者获得预期收益的概率。雪球产品主要包括以下交易要素：</w:t>
      </w:r>
    </w:p>
    <w:p w14:paraId="39228D43" w14:textId="77777777" w:rsidR="007A4DAB" w:rsidRDefault="007A4DAB" w:rsidP="00AA2F8F">
      <w:pPr>
        <w:ind w:firstLine="645"/>
        <w:rPr>
          <w:rFonts w:ascii="仿宋_GB2312" w:eastAsia="仿宋_GB2312"/>
          <w:sz w:val="32"/>
          <w:szCs w:val="32"/>
        </w:rPr>
      </w:pPr>
    </w:p>
    <w:tbl>
      <w:tblPr>
        <w:tblStyle w:val="5-1"/>
        <w:tblW w:w="8222" w:type="dxa"/>
        <w:tblLook w:val="04A0" w:firstRow="1" w:lastRow="0" w:firstColumn="1" w:lastColumn="0" w:noHBand="0" w:noVBand="1"/>
      </w:tblPr>
      <w:tblGrid>
        <w:gridCol w:w="2693"/>
        <w:gridCol w:w="5529"/>
      </w:tblGrid>
      <w:tr w:rsidR="007A4DAB" w:rsidRPr="007A4DAB" w14:paraId="5B5608EE" w14:textId="77777777" w:rsidTr="005D717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222" w:type="dxa"/>
            <w:gridSpan w:val="2"/>
            <w:noWrap/>
          </w:tcPr>
          <w:p w14:paraId="3495366F" w14:textId="77777777" w:rsidR="007A4DAB" w:rsidRPr="007A4DAB" w:rsidRDefault="007A4DAB" w:rsidP="005D7174">
            <w:pPr>
              <w:jc w:val="center"/>
              <w:rPr>
                <w:rFonts w:ascii="仿宋_GB2312" w:eastAsia="仿宋_GB2312" w:hAnsi="微软雅黑"/>
                <w:sz w:val="26"/>
                <w:szCs w:val="26"/>
              </w:rPr>
            </w:pPr>
            <w:r w:rsidRPr="007A4DAB">
              <w:rPr>
                <w:rFonts w:ascii="仿宋_GB2312" w:eastAsia="仿宋_GB2312" w:hAnsi="微软雅黑" w:hint="eastAsia"/>
                <w:sz w:val="26"/>
                <w:szCs w:val="26"/>
              </w:rPr>
              <w:t>雪球产品主要交易要素示例</w:t>
            </w:r>
          </w:p>
        </w:tc>
      </w:tr>
      <w:tr w:rsidR="007A4DAB" w:rsidRPr="007A4DAB" w14:paraId="755A7FC8"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0EA16CAE"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产品类型</w:t>
            </w:r>
          </w:p>
        </w:tc>
        <w:tc>
          <w:tcPr>
            <w:tcW w:w="5529" w:type="dxa"/>
            <w:noWrap/>
            <w:hideMark/>
          </w:tcPr>
          <w:p w14:paraId="61D2F6FF"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非保本型雪球产品</w:t>
            </w:r>
          </w:p>
        </w:tc>
      </w:tr>
      <w:tr w:rsidR="007A4DAB" w:rsidRPr="007A4DAB" w14:paraId="07ADF2B2"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2BE5121F"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挂钩标的</w:t>
            </w:r>
          </w:p>
        </w:tc>
        <w:tc>
          <w:tcPr>
            <w:tcW w:w="5529" w:type="dxa"/>
            <w:noWrap/>
            <w:hideMark/>
          </w:tcPr>
          <w:p w14:paraId="0DF4E97C" w14:textId="77777777"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中证500指数</w:t>
            </w:r>
          </w:p>
        </w:tc>
      </w:tr>
      <w:tr w:rsidR="007A4DAB" w:rsidRPr="007A4DAB" w14:paraId="4F272D35"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3744566E"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产品期限</w:t>
            </w:r>
          </w:p>
        </w:tc>
        <w:tc>
          <w:tcPr>
            <w:tcW w:w="5529" w:type="dxa"/>
            <w:noWrap/>
            <w:hideMark/>
          </w:tcPr>
          <w:p w14:paraId="53B4838A"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12个月</w:t>
            </w:r>
          </w:p>
        </w:tc>
      </w:tr>
      <w:tr w:rsidR="007A4DAB" w:rsidRPr="007A4DAB" w14:paraId="1801E4FE"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2CFE2F8F"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期初观察日</w:t>
            </w:r>
          </w:p>
        </w:tc>
        <w:tc>
          <w:tcPr>
            <w:tcW w:w="5529" w:type="dxa"/>
            <w:noWrap/>
            <w:hideMark/>
          </w:tcPr>
          <w:p w14:paraId="2E734A9B" w14:textId="77777777"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交易初始日</w:t>
            </w:r>
          </w:p>
        </w:tc>
      </w:tr>
      <w:tr w:rsidR="007A4DAB" w:rsidRPr="007A4DAB" w14:paraId="0C92FBEA"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1BBA9F18"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敲入观察日</w:t>
            </w:r>
          </w:p>
        </w:tc>
        <w:tc>
          <w:tcPr>
            <w:tcW w:w="5529" w:type="dxa"/>
            <w:noWrap/>
            <w:hideMark/>
          </w:tcPr>
          <w:p w14:paraId="617625BF"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存续期内每个交易日</w:t>
            </w:r>
          </w:p>
        </w:tc>
      </w:tr>
      <w:tr w:rsidR="007A4DAB" w:rsidRPr="007A4DAB" w14:paraId="2C310EAA"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7DD6E638"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敲出观察日</w:t>
            </w:r>
          </w:p>
        </w:tc>
        <w:tc>
          <w:tcPr>
            <w:tcW w:w="5529" w:type="dxa"/>
            <w:noWrap/>
            <w:hideMark/>
          </w:tcPr>
          <w:p w14:paraId="384AE49C" w14:textId="319DD2D3"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每月观察一次，</w:t>
            </w:r>
            <w:r w:rsidR="001521C2">
              <w:rPr>
                <w:rFonts w:ascii="仿宋_GB2312" w:eastAsia="仿宋_GB2312" w:hAnsi="微软雅黑" w:hint="eastAsia"/>
                <w:color w:val="000000" w:themeColor="text1"/>
                <w:sz w:val="26"/>
                <w:szCs w:val="26"/>
              </w:rPr>
              <w:t>一般</w:t>
            </w:r>
            <w:r w:rsidRPr="007A4DAB">
              <w:rPr>
                <w:rFonts w:ascii="仿宋_GB2312" w:eastAsia="仿宋_GB2312" w:hAnsi="微软雅黑" w:hint="eastAsia"/>
                <w:color w:val="000000" w:themeColor="text1"/>
                <w:sz w:val="26"/>
                <w:szCs w:val="26"/>
              </w:rPr>
              <w:t>前两个月</w:t>
            </w:r>
            <w:r w:rsidR="0043500B">
              <w:rPr>
                <w:rFonts w:ascii="仿宋_GB2312" w:eastAsia="仿宋_GB2312" w:hAnsi="微软雅黑" w:hint="eastAsia"/>
                <w:color w:val="000000" w:themeColor="text1"/>
                <w:sz w:val="26"/>
                <w:szCs w:val="26"/>
              </w:rPr>
              <w:t>不设敲出</w:t>
            </w:r>
            <w:r w:rsidRPr="007A4DAB">
              <w:rPr>
                <w:rFonts w:ascii="仿宋_GB2312" w:eastAsia="仿宋_GB2312" w:hAnsi="微软雅黑" w:hint="eastAsia"/>
                <w:color w:val="000000" w:themeColor="text1"/>
                <w:sz w:val="26"/>
                <w:szCs w:val="26"/>
              </w:rPr>
              <w:t>观察日</w:t>
            </w:r>
          </w:p>
        </w:tc>
      </w:tr>
      <w:tr w:rsidR="007A4DAB" w:rsidRPr="007A4DAB" w14:paraId="270A7CA4"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710C4900"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期初价格</w:t>
            </w:r>
          </w:p>
        </w:tc>
        <w:tc>
          <w:tcPr>
            <w:tcW w:w="5529" w:type="dxa"/>
            <w:noWrap/>
            <w:hideMark/>
          </w:tcPr>
          <w:p w14:paraId="7F597C82"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期初观察日标的的收盘价</w:t>
            </w:r>
          </w:p>
        </w:tc>
      </w:tr>
      <w:tr w:rsidR="007A4DAB" w:rsidRPr="007A4DAB" w14:paraId="2E331D71"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585C6B54"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lastRenderedPageBreak/>
              <w:t>敲出价格</w:t>
            </w:r>
          </w:p>
        </w:tc>
        <w:tc>
          <w:tcPr>
            <w:tcW w:w="5529" w:type="dxa"/>
            <w:noWrap/>
            <w:hideMark/>
          </w:tcPr>
          <w:p w14:paraId="6C8E67DB" w14:textId="77777777"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期初价格*100%</w:t>
            </w:r>
          </w:p>
        </w:tc>
      </w:tr>
      <w:tr w:rsidR="007A4DAB" w:rsidRPr="007A4DAB" w14:paraId="090A388C"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79FD4CA4"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敲入价格</w:t>
            </w:r>
          </w:p>
        </w:tc>
        <w:tc>
          <w:tcPr>
            <w:tcW w:w="5529" w:type="dxa"/>
            <w:noWrap/>
            <w:hideMark/>
          </w:tcPr>
          <w:p w14:paraId="0572328F"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期初价格*80%</w:t>
            </w:r>
          </w:p>
        </w:tc>
      </w:tr>
      <w:tr w:rsidR="007A4DAB" w:rsidRPr="007A4DAB" w14:paraId="1605E9A3"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682806DC"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敲出事件</w:t>
            </w:r>
          </w:p>
        </w:tc>
        <w:tc>
          <w:tcPr>
            <w:tcW w:w="5529" w:type="dxa"/>
            <w:noWrap/>
            <w:hideMark/>
          </w:tcPr>
          <w:p w14:paraId="629C0202" w14:textId="77777777"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任一敲出观察日收盘价高于敲出价格</w:t>
            </w:r>
          </w:p>
        </w:tc>
      </w:tr>
      <w:tr w:rsidR="007A4DAB" w:rsidRPr="007A4DAB" w14:paraId="4E50CF1E" w14:textId="77777777" w:rsidTr="005D71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7BE0BCB2"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敲入事件</w:t>
            </w:r>
          </w:p>
        </w:tc>
        <w:tc>
          <w:tcPr>
            <w:tcW w:w="5529" w:type="dxa"/>
            <w:noWrap/>
            <w:hideMark/>
          </w:tcPr>
          <w:p w14:paraId="77B3F87D" w14:textId="77777777" w:rsidR="007A4DAB" w:rsidRPr="007A4DAB" w:rsidRDefault="007A4DAB" w:rsidP="005D7174">
            <w:pPr>
              <w:cnfStyle w:val="000000100000" w:firstRow="0" w:lastRow="0" w:firstColumn="0" w:lastColumn="0" w:oddVBand="0" w:evenVBand="0" w:oddHBand="1"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任一敲入观察日收盘价低于敲入价格</w:t>
            </w:r>
          </w:p>
        </w:tc>
      </w:tr>
      <w:tr w:rsidR="007A4DAB" w:rsidRPr="007A4DAB" w14:paraId="71DEA363" w14:textId="77777777" w:rsidTr="005D7174">
        <w:trPr>
          <w:trHeight w:val="270"/>
        </w:trPr>
        <w:tc>
          <w:tcPr>
            <w:cnfStyle w:val="001000000000" w:firstRow="0" w:lastRow="0" w:firstColumn="1" w:lastColumn="0" w:oddVBand="0" w:evenVBand="0" w:oddHBand="0" w:evenHBand="0" w:firstRowFirstColumn="0" w:firstRowLastColumn="0" w:lastRowFirstColumn="0" w:lastRowLastColumn="0"/>
            <w:tcW w:w="2693" w:type="dxa"/>
            <w:noWrap/>
            <w:hideMark/>
          </w:tcPr>
          <w:p w14:paraId="0D26878B" w14:textId="77777777" w:rsidR="007A4DAB" w:rsidRPr="007A4DAB" w:rsidRDefault="007A4DAB" w:rsidP="005D7174">
            <w:pPr>
              <w:rPr>
                <w:rFonts w:ascii="仿宋_GB2312" w:eastAsia="仿宋_GB2312" w:hAnsi="微软雅黑"/>
                <w:sz w:val="26"/>
                <w:szCs w:val="26"/>
              </w:rPr>
            </w:pPr>
            <w:r w:rsidRPr="007A4DAB">
              <w:rPr>
                <w:rFonts w:ascii="仿宋_GB2312" w:eastAsia="仿宋_GB2312" w:hAnsi="微软雅黑" w:hint="eastAsia"/>
                <w:sz w:val="26"/>
                <w:szCs w:val="26"/>
              </w:rPr>
              <w:t>产品票息（年化）</w:t>
            </w:r>
          </w:p>
        </w:tc>
        <w:tc>
          <w:tcPr>
            <w:tcW w:w="5529" w:type="dxa"/>
            <w:noWrap/>
            <w:hideMark/>
          </w:tcPr>
          <w:p w14:paraId="1A2AAA94" w14:textId="77777777" w:rsidR="007A4DAB" w:rsidRPr="007A4DAB" w:rsidRDefault="007A4DAB" w:rsidP="005D7174">
            <w:pPr>
              <w:cnfStyle w:val="000000000000" w:firstRow="0" w:lastRow="0" w:firstColumn="0" w:lastColumn="0" w:oddVBand="0" w:evenVBand="0" w:oddHBand="0" w:evenHBand="0" w:firstRowFirstColumn="0" w:firstRowLastColumn="0" w:lastRowFirstColumn="0" w:lastRowLastColumn="0"/>
              <w:rPr>
                <w:rFonts w:ascii="仿宋_GB2312" w:eastAsia="仿宋_GB2312" w:hAnsi="微软雅黑"/>
                <w:color w:val="000000" w:themeColor="text1"/>
                <w:sz w:val="26"/>
                <w:szCs w:val="26"/>
              </w:rPr>
            </w:pPr>
            <w:r w:rsidRPr="007A4DAB">
              <w:rPr>
                <w:rFonts w:ascii="仿宋_GB2312" w:eastAsia="仿宋_GB2312" w:hAnsi="微软雅黑" w:hint="eastAsia"/>
                <w:color w:val="000000" w:themeColor="text1"/>
                <w:sz w:val="26"/>
                <w:szCs w:val="26"/>
              </w:rPr>
              <w:t>17%</w:t>
            </w:r>
          </w:p>
        </w:tc>
      </w:tr>
    </w:tbl>
    <w:p w14:paraId="3234F484" w14:textId="77777777" w:rsidR="007A4DAB" w:rsidRDefault="007A4DAB" w:rsidP="00AA2F8F">
      <w:pPr>
        <w:ind w:firstLine="645"/>
        <w:rPr>
          <w:rFonts w:ascii="仿宋_GB2312" w:eastAsia="仿宋_GB2312"/>
          <w:sz w:val="32"/>
          <w:szCs w:val="32"/>
        </w:rPr>
      </w:pPr>
    </w:p>
    <w:p w14:paraId="23230540" w14:textId="0E110BE0" w:rsidR="00AA2F8F" w:rsidRDefault="00AA2F8F" w:rsidP="00AA2F8F">
      <w:pPr>
        <w:ind w:firstLine="645"/>
        <w:rPr>
          <w:rFonts w:ascii="仿宋_GB2312" w:eastAsia="仿宋_GB2312"/>
          <w:sz w:val="32"/>
          <w:szCs w:val="32"/>
        </w:rPr>
      </w:pPr>
      <w:r w:rsidRPr="00AA2F8F">
        <w:rPr>
          <w:rFonts w:ascii="黑体" w:eastAsia="黑体" w:hAnsi="黑体" w:hint="eastAsia"/>
          <w:sz w:val="32"/>
          <w:szCs w:val="32"/>
        </w:rPr>
        <w:t>一、</w:t>
      </w:r>
      <w:r w:rsidR="00E87669" w:rsidRPr="00AA2F8F">
        <w:rPr>
          <w:rFonts w:ascii="黑体" w:eastAsia="黑体" w:hAnsi="黑体" w:hint="eastAsia"/>
          <w:sz w:val="32"/>
          <w:szCs w:val="32"/>
        </w:rPr>
        <w:t>产品类型。</w:t>
      </w:r>
      <w:r w:rsidR="00E87669" w:rsidRPr="00AA2F8F">
        <w:rPr>
          <w:rFonts w:ascii="仿宋_GB2312" w:eastAsia="仿宋_GB2312" w:hint="eastAsia"/>
          <w:sz w:val="32"/>
          <w:szCs w:val="32"/>
        </w:rPr>
        <w:t>目前市场上已经衍生出多种类型的雪球产品，例如：根据是</w:t>
      </w:r>
      <w:r w:rsidR="00B22C50" w:rsidRPr="00AA2F8F">
        <w:rPr>
          <w:rFonts w:ascii="仿宋_GB2312" w:eastAsia="仿宋_GB2312" w:hint="eastAsia"/>
          <w:sz w:val="32"/>
          <w:szCs w:val="32"/>
        </w:rPr>
        <w:t>潜在本金损失程度可分为</w:t>
      </w:r>
      <w:r w:rsidR="00E87669" w:rsidRPr="00AA2F8F">
        <w:rPr>
          <w:rFonts w:ascii="仿宋_GB2312" w:eastAsia="仿宋_GB2312" w:hint="eastAsia"/>
          <w:sz w:val="32"/>
          <w:szCs w:val="32"/>
        </w:rPr>
        <w:t>：保本型雪球产品、有限损失型雪球产品、非保本型雪球</w:t>
      </w:r>
      <w:r w:rsidR="001521C2">
        <w:rPr>
          <w:rFonts w:ascii="仿宋_GB2312" w:eastAsia="仿宋_GB2312" w:hint="eastAsia"/>
          <w:sz w:val="32"/>
          <w:szCs w:val="32"/>
        </w:rPr>
        <w:t>产品</w:t>
      </w:r>
      <w:r w:rsidR="00B22C50" w:rsidRPr="00AA2F8F">
        <w:rPr>
          <w:rFonts w:ascii="仿宋_GB2312" w:eastAsia="仿宋_GB2312" w:hint="eastAsia"/>
          <w:sz w:val="32"/>
          <w:szCs w:val="32"/>
        </w:rPr>
        <w:t>；根据产品锁定期可分为：有锁定期雪球产品和无锁定期雪球产品；根据敲出价格是否逐步调整可分为：普通雪球产品和逐级下调（step-down）雪球产品等。因此投资者应当谨慎选择适合自己的雪球产品，严格根据自身的风险承受能力、投资知识以及市场判断作出投资决策。</w:t>
      </w:r>
    </w:p>
    <w:p w14:paraId="20334129" w14:textId="4496DBEE" w:rsidR="00AA2F8F" w:rsidRDefault="00AA2F8F" w:rsidP="00AA2F8F">
      <w:pPr>
        <w:ind w:firstLine="645"/>
        <w:rPr>
          <w:rFonts w:ascii="仿宋_GB2312" w:eastAsia="仿宋_GB2312"/>
          <w:sz w:val="32"/>
          <w:szCs w:val="32"/>
        </w:rPr>
      </w:pPr>
      <w:r w:rsidRPr="00AA2F8F">
        <w:rPr>
          <w:rFonts w:ascii="黑体" w:eastAsia="黑体" w:hAnsi="黑体" w:hint="eastAsia"/>
          <w:sz w:val="32"/>
          <w:szCs w:val="32"/>
        </w:rPr>
        <w:t>二、</w:t>
      </w:r>
      <w:r w:rsidR="00B22C50" w:rsidRPr="00AA2F8F">
        <w:rPr>
          <w:rFonts w:ascii="黑体" w:eastAsia="黑体" w:hAnsi="黑体" w:hint="eastAsia"/>
          <w:sz w:val="32"/>
          <w:szCs w:val="32"/>
        </w:rPr>
        <w:t>挂钩标的。</w:t>
      </w:r>
      <w:r w:rsidR="00B22C50" w:rsidRPr="00AA2F8F">
        <w:rPr>
          <w:rFonts w:ascii="仿宋_GB2312" w:eastAsia="仿宋_GB2312" w:hint="eastAsia"/>
          <w:sz w:val="32"/>
          <w:szCs w:val="32"/>
        </w:rPr>
        <w:t>雪球产品挂钩标的在产品持有期内的市场表现将在观察日与产品的敲入价格和敲出价格进行比对，确定是否触发敲入事件和敲出事件，因此挂钩标的的表现决定了投资者最终的损益结果。市场上已存在的雪球产品挂钩标的主要有中证500指数、其他宽基指数</w:t>
      </w:r>
      <w:r w:rsidR="00707A57">
        <w:rPr>
          <w:rFonts w:ascii="仿宋_GB2312" w:eastAsia="仿宋_GB2312" w:hint="eastAsia"/>
          <w:sz w:val="32"/>
          <w:szCs w:val="32"/>
        </w:rPr>
        <w:t>、</w:t>
      </w:r>
      <w:r w:rsidR="00B22C50" w:rsidRPr="00AA2F8F">
        <w:rPr>
          <w:rFonts w:ascii="仿宋_GB2312" w:eastAsia="仿宋_GB2312" w:hint="eastAsia"/>
          <w:sz w:val="32"/>
          <w:szCs w:val="32"/>
        </w:rPr>
        <w:t>ETF以及个股等，绝大部分的雪球产品挂钩标的为中证500指数，是由全部A股中剔除沪深300指数成份股及总市值排名前300名的股票后剩下的总市值排名靠前的500只股票组成。</w:t>
      </w:r>
    </w:p>
    <w:p w14:paraId="328DB3E8" w14:textId="7214EE2E" w:rsidR="00AA2F8F" w:rsidRDefault="00AA2F8F" w:rsidP="00AA2F8F">
      <w:pPr>
        <w:ind w:firstLine="645"/>
        <w:rPr>
          <w:rFonts w:ascii="仿宋_GB2312" w:eastAsia="仿宋_GB2312"/>
          <w:sz w:val="32"/>
          <w:szCs w:val="32"/>
        </w:rPr>
      </w:pPr>
      <w:r w:rsidRPr="00AA2F8F">
        <w:rPr>
          <w:rFonts w:ascii="黑体" w:eastAsia="黑体" w:hAnsi="黑体" w:hint="eastAsia"/>
          <w:sz w:val="32"/>
          <w:szCs w:val="32"/>
        </w:rPr>
        <w:lastRenderedPageBreak/>
        <w:t>三、</w:t>
      </w:r>
      <w:r w:rsidR="005D17A8" w:rsidRPr="00AA2F8F">
        <w:rPr>
          <w:rFonts w:ascii="黑体" w:eastAsia="黑体" w:hAnsi="黑体" w:hint="eastAsia"/>
          <w:sz w:val="32"/>
          <w:szCs w:val="32"/>
        </w:rPr>
        <w:t>产品期限。</w:t>
      </w:r>
      <w:r w:rsidR="005D17A8" w:rsidRPr="00AA2F8F">
        <w:rPr>
          <w:rFonts w:ascii="仿宋_GB2312" w:eastAsia="仿宋_GB2312" w:hint="eastAsia"/>
          <w:sz w:val="32"/>
          <w:szCs w:val="32"/>
        </w:rPr>
        <w:t>产品期限决定了投资者资金锁定在雪球产品的时限长短，若敲出事件触发则产品提前结束。</w:t>
      </w:r>
    </w:p>
    <w:p w14:paraId="297BC07B" w14:textId="6AC7E179" w:rsidR="00AA2F8F" w:rsidRDefault="00AA2F8F" w:rsidP="00AA2F8F">
      <w:pPr>
        <w:ind w:firstLine="645"/>
        <w:rPr>
          <w:rFonts w:ascii="仿宋_GB2312" w:eastAsia="仿宋_GB2312"/>
          <w:sz w:val="32"/>
          <w:szCs w:val="32"/>
        </w:rPr>
      </w:pPr>
      <w:r w:rsidRPr="00AA2F8F">
        <w:rPr>
          <w:rFonts w:ascii="黑体" w:eastAsia="黑体" w:hAnsi="黑体" w:hint="eastAsia"/>
          <w:sz w:val="32"/>
          <w:szCs w:val="32"/>
        </w:rPr>
        <w:t>四、</w:t>
      </w:r>
      <w:r w:rsidR="00B22C50" w:rsidRPr="00AA2F8F">
        <w:rPr>
          <w:rFonts w:ascii="黑体" w:eastAsia="黑体" w:hAnsi="黑体" w:hint="eastAsia"/>
          <w:sz w:val="32"/>
          <w:szCs w:val="32"/>
        </w:rPr>
        <w:t>期初观察日</w:t>
      </w:r>
      <w:r w:rsidR="00707A57">
        <w:rPr>
          <w:rFonts w:ascii="黑体" w:eastAsia="黑体" w:hAnsi="黑体" w:hint="eastAsia"/>
          <w:sz w:val="32"/>
          <w:szCs w:val="32"/>
        </w:rPr>
        <w:t>及期初价格</w:t>
      </w:r>
      <w:r w:rsidR="00B22C50" w:rsidRPr="00AA2F8F">
        <w:rPr>
          <w:rFonts w:ascii="黑体" w:eastAsia="黑体" w:hAnsi="黑体" w:hint="eastAsia"/>
          <w:sz w:val="32"/>
          <w:szCs w:val="32"/>
        </w:rPr>
        <w:t>。</w:t>
      </w:r>
      <w:r w:rsidR="00B22C50" w:rsidRPr="00AA2F8F">
        <w:rPr>
          <w:rFonts w:ascii="仿宋_GB2312" w:eastAsia="仿宋_GB2312" w:hint="eastAsia"/>
          <w:sz w:val="32"/>
          <w:szCs w:val="32"/>
        </w:rPr>
        <w:t>期初观察日决定了雪球产品挂钩标的的期初价格。例如某雪球产品期初观察日</w:t>
      </w:r>
      <w:r w:rsidR="001B2BF1" w:rsidRPr="00AA2F8F">
        <w:rPr>
          <w:rFonts w:ascii="仿宋_GB2312" w:eastAsia="仿宋_GB2312" w:hint="eastAsia"/>
          <w:sz w:val="32"/>
          <w:szCs w:val="32"/>
        </w:rPr>
        <w:t>挂钩的中证500指数为</w:t>
      </w:r>
      <w:r w:rsidR="00707A57">
        <w:rPr>
          <w:rFonts w:ascii="仿宋_GB2312" w:eastAsia="仿宋_GB2312"/>
          <w:sz w:val="32"/>
          <w:szCs w:val="32"/>
        </w:rPr>
        <w:t>7</w:t>
      </w:r>
      <w:r w:rsidR="001B2BF1" w:rsidRPr="00AA2F8F">
        <w:rPr>
          <w:rFonts w:ascii="仿宋_GB2312" w:eastAsia="仿宋_GB2312" w:hint="eastAsia"/>
          <w:sz w:val="32"/>
          <w:szCs w:val="32"/>
        </w:rPr>
        <w:t>000点，那么之后的产品敲出与敲入的触发将由中证500指数在观察日的表现与期初价格</w:t>
      </w:r>
      <w:r w:rsidR="00707A57">
        <w:rPr>
          <w:rFonts w:ascii="仿宋_GB2312" w:eastAsia="仿宋_GB2312" w:hint="eastAsia"/>
          <w:sz w:val="32"/>
          <w:szCs w:val="32"/>
        </w:rPr>
        <w:t>（7</w:t>
      </w:r>
      <w:r w:rsidR="00707A57">
        <w:rPr>
          <w:rFonts w:ascii="仿宋_GB2312" w:eastAsia="仿宋_GB2312"/>
          <w:sz w:val="32"/>
          <w:szCs w:val="32"/>
        </w:rPr>
        <w:t>00</w:t>
      </w:r>
      <w:r w:rsidR="00707A57">
        <w:rPr>
          <w:rFonts w:ascii="仿宋_GB2312" w:eastAsia="仿宋_GB2312" w:hint="eastAsia"/>
          <w:sz w:val="32"/>
          <w:szCs w:val="32"/>
        </w:rPr>
        <w:t>0点）</w:t>
      </w:r>
      <w:r w:rsidR="001B2BF1" w:rsidRPr="00AA2F8F">
        <w:rPr>
          <w:rFonts w:ascii="仿宋_GB2312" w:eastAsia="仿宋_GB2312" w:hint="eastAsia"/>
          <w:sz w:val="32"/>
          <w:szCs w:val="32"/>
        </w:rPr>
        <w:t>以一定比例进行对比决定。</w:t>
      </w:r>
    </w:p>
    <w:p w14:paraId="19294A31" w14:textId="5660F0EC" w:rsidR="00AA2F8F" w:rsidRDefault="00AA2F8F" w:rsidP="00AA2F8F">
      <w:pPr>
        <w:ind w:firstLine="645"/>
        <w:rPr>
          <w:rFonts w:ascii="仿宋_GB2312" w:eastAsia="仿宋_GB2312"/>
          <w:sz w:val="32"/>
          <w:szCs w:val="32"/>
        </w:rPr>
      </w:pPr>
      <w:r>
        <w:rPr>
          <w:rFonts w:ascii="黑体" w:eastAsia="黑体" w:hAnsi="黑体" w:hint="eastAsia"/>
          <w:sz w:val="32"/>
          <w:szCs w:val="32"/>
        </w:rPr>
        <w:t>五、</w:t>
      </w:r>
      <w:r w:rsidR="001B2BF1" w:rsidRPr="00AA2F8F">
        <w:rPr>
          <w:rFonts w:ascii="黑体" w:eastAsia="黑体" w:hAnsi="黑体" w:hint="eastAsia"/>
          <w:sz w:val="32"/>
          <w:szCs w:val="32"/>
        </w:rPr>
        <w:t>敲出观察日、敲出价格与敲出事件。</w:t>
      </w:r>
      <w:r w:rsidR="001170EF" w:rsidRPr="00AA2F8F">
        <w:rPr>
          <w:rFonts w:ascii="仿宋_GB2312" w:eastAsia="仿宋_GB2312" w:hint="eastAsia"/>
          <w:sz w:val="32"/>
          <w:szCs w:val="32"/>
        </w:rPr>
        <w:t>雪球</w:t>
      </w:r>
      <w:r w:rsidR="001B2BF1" w:rsidRPr="00AA2F8F">
        <w:rPr>
          <w:rFonts w:ascii="仿宋_GB2312" w:eastAsia="仿宋_GB2312" w:hint="eastAsia"/>
          <w:sz w:val="32"/>
          <w:szCs w:val="32"/>
        </w:rPr>
        <w:t>产品将在敲出观察日时将标的的表现与敲出价格进行对比，如果标的</w:t>
      </w:r>
      <w:r w:rsidR="001B2BF1" w:rsidRPr="00AA2F8F">
        <w:rPr>
          <w:rFonts w:ascii="仿宋_GB2312" w:eastAsia="仿宋_GB2312" w:hint="eastAsia"/>
          <w:b/>
          <w:bCs/>
          <w:sz w:val="32"/>
          <w:szCs w:val="32"/>
        </w:rPr>
        <w:t>价格高于敲出价格</w:t>
      </w:r>
      <w:r w:rsidR="001B2BF1" w:rsidRPr="00AA2F8F">
        <w:rPr>
          <w:rFonts w:ascii="仿宋_GB2312" w:eastAsia="仿宋_GB2312" w:hint="eastAsia"/>
          <w:sz w:val="32"/>
          <w:szCs w:val="32"/>
        </w:rPr>
        <w:t>，则触发</w:t>
      </w:r>
      <w:r w:rsidR="001B2BF1" w:rsidRPr="00AA2F8F">
        <w:rPr>
          <w:rFonts w:ascii="仿宋_GB2312" w:eastAsia="仿宋_GB2312" w:hint="eastAsia"/>
          <w:b/>
          <w:bCs/>
          <w:sz w:val="32"/>
          <w:szCs w:val="32"/>
        </w:rPr>
        <w:t>敲出事件</w:t>
      </w:r>
      <w:r w:rsidR="001B2BF1" w:rsidRPr="00AA2F8F">
        <w:rPr>
          <w:rFonts w:ascii="仿宋_GB2312" w:eastAsia="仿宋_GB2312" w:hint="eastAsia"/>
          <w:sz w:val="32"/>
          <w:szCs w:val="32"/>
        </w:rPr>
        <w:t>，产品结束，投资者获得收益。例如：敲出观察日时中证500指数为6020点，敲出价格为期初价格*100%，即前文提到的期初观察日的6000点，那么敲出事件触发。敲出观察日通常为每个月观察一次，部分产品的敲出观察日会从产品开始的第三或四个月开始。敲出价格根据产品不同的类型有不同的设定，普通雪球产品常见设定为期初价格*10</w:t>
      </w:r>
      <w:r w:rsidR="00CF1C28">
        <w:rPr>
          <w:rFonts w:ascii="仿宋_GB2312" w:eastAsia="仿宋_GB2312"/>
          <w:sz w:val="32"/>
          <w:szCs w:val="32"/>
        </w:rPr>
        <w:t>0</w:t>
      </w:r>
      <w:r w:rsidR="001B2BF1" w:rsidRPr="00AA2F8F">
        <w:rPr>
          <w:rFonts w:ascii="仿宋_GB2312" w:eastAsia="仿宋_GB2312" w:hint="eastAsia"/>
          <w:sz w:val="32"/>
          <w:szCs w:val="32"/>
        </w:rPr>
        <w:t>%或期初价格</w:t>
      </w:r>
      <w:r w:rsidR="001170EF" w:rsidRPr="00AA2F8F">
        <w:rPr>
          <w:rFonts w:ascii="仿宋_GB2312" w:eastAsia="仿宋_GB2312" w:hint="eastAsia"/>
          <w:sz w:val="32"/>
          <w:szCs w:val="32"/>
        </w:rPr>
        <w:t>*</w:t>
      </w:r>
      <w:r w:rsidR="001B2BF1" w:rsidRPr="00AA2F8F">
        <w:rPr>
          <w:rFonts w:ascii="仿宋_GB2312" w:eastAsia="仿宋_GB2312" w:hint="eastAsia"/>
          <w:sz w:val="32"/>
          <w:szCs w:val="32"/>
        </w:rPr>
        <w:t>10</w:t>
      </w:r>
      <w:r w:rsidR="00CF1C28">
        <w:rPr>
          <w:rFonts w:ascii="仿宋_GB2312" w:eastAsia="仿宋_GB2312"/>
          <w:sz w:val="32"/>
          <w:szCs w:val="32"/>
        </w:rPr>
        <w:t>3</w:t>
      </w:r>
      <w:r w:rsidR="001B2BF1" w:rsidRPr="00AA2F8F">
        <w:rPr>
          <w:rFonts w:ascii="仿宋_GB2312" w:eastAsia="仿宋_GB2312" w:hint="eastAsia"/>
          <w:sz w:val="32"/>
          <w:szCs w:val="32"/>
        </w:rPr>
        <w:t>%，而逐级下调（Step-down）雪球产品则在</w:t>
      </w:r>
      <w:r w:rsidR="001521C2">
        <w:rPr>
          <w:rFonts w:ascii="仿宋_GB2312" w:eastAsia="仿宋_GB2312" w:hint="eastAsia"/>
          <w:sz w:val="32"/>
          <w:szCs w:val="32"/>
        </w:rPr>
        <w:t>第一个</w:t>
      </w:r>
      <w:r w:rsidR="001B2BF1" w:rsidRPr="00AA2F8F">
        <w:rPr>
          <w:rFonts w:ascii="仿宋_GB2312" w:eastAsia="仿宋_GB2312" w:hint="eastAsia"/>
          <w:sz w:val="32"/>
          <w:szCs w:val="32"/>
        </w:rPr>
        <w:t>敲出观察日开始，</w:t>
      </w:r>
      <w:r w:rsidR="001521C2">
        <w:rPr>
          <w:rFonts w:ascii="仿宋_GB2312" w:eastAsia="仿宋_GB2312" w:hint="eastAsia"/>
          <w:sz w:val="32"/>
          <w:szCs w:val="32"/>
        </w:rPr>
        <w:t>逐月</w:t>
      </w:r>
      <w:r w:rsidR="001B2BF1" w:rsidRPr="00AA2F8F">
        <w:rPr>
          <w:rFonts w:ascii="仿宋_GB2312" w:eastAsia="仿宋_GB2312" w:hint="eastAsia"/>
          <w:sz w:val="32"/>
          <w:szCs w:val="32"/>
        </w:rPr>
        <w:t>下调敲出价格，</w:t>
      </w:r>
      <w:r w:rsidR="001170EF" w:rsidRPr="00AA2F8F">
        <w:rPr>
          <w:rFonts w:ascii="仿宋_GB2312" w:eastAsia="仿宋_GB2312" w:hint="eastAsia"/>
          <w:sz w:val="32"/>
          <w:szCs w:val="32"/>
        </w:rPr>
        <w:t>例如</w:t>
      </w:r>
      <w:r w:rsidR="001B2BF1" w:rsidRPr="00AA2F8F">
        <w:rPr>
          <w:rFonts w:ascii="仿宋_GB2312" w:eastAsia="仿宋_GB2312" w:hint="eastAsia"/>
          <w:sz w:val="32"/>
          <w:szCs w:val="32"/>
        </w:rPr>
        <w:t>每月下调</w:t>
      </w:r>
      <w:r w:rsidR="001170EF" w:rsidRPr="00AA2F8F">
        <w:rPr>
          <w:rFonts w:ascii="仿宋_GB2312" w:eastAsia="仿宋_GB2312" w:hint="eastAsia"/>
          <w:sz w:val="32"/>
          <w:szCs w:val="32"/>
        </w:rPr>
        <w:t>0.2%，那么第5个</w:t>
      </w:r>
      <w:r w:rsidR="001521C2">
        <w:rPr>
          <w:rFonts w:ascii="仿宋_GB2312" w:eastAsia="仿宋_GB2312" w:hint="eastAsia"/>
          <w:sz w:val="32"/>
          <w:szCs w:val="32"/>
        </w:rPr>
        <w:t>敲出观察日</w:t>
      </w:r>
      <w:r w:rsidR="001170EF" w:rsidRPr="00AA2F8F">
        <w:rPr>
          <w:rFonts w:ascii="仿宋_GB2312" w:eastAsia="仿宋_GB2312" w:hint="eastAsia"/>
          <w:sz w:val="32"/>
          <w:szCs w:val="32"/>
        </w:rPr>
        <w:t>产品的敲出</w:t>
      </w:r>
      <w:r w:rsidR="001521C2">
        <w:rPr>
          <w:rFonts w:ascii="仿宋_GB2312" w:eastAsia="仿宋_GB2312" w:hint="eastAsia"/>
          <w:sz w:val="32"/>
          <w:szCs w:val="32"/>
        </w:rPr>
        <w:t>价格相较于第一个月下降1%</w:t>
      </w:r>
      <w:r w:rsidR="001170EF" w:rsidRPr="00AA2F8F">
        <w:rPr>
          <w:rFonts w:ascii="仿宋_GB2312" w:eastAsia="仿宋_GB2312" w:hint="eastAsia"/>
          <w:sz w:val="32"/>
          <w:szCs w:val="32"/>
        </w:rPr>
        <w:t>，更容易触发敲出事件。</w:t>
      </w:r>
    </w:p>
    <w:p w14:paraId="2E9E2AA7" w14:textId="60076DCA" w:rsidR="00AA2F8F" w:rsidRDefault="00AA2F8F" w:rsidP="00AA2F8F">
      <w:pPr>
        <w:ind w:firstLine="645"/>
        <w:rPr>
          <w:rFonts w:ascii="仿宋_GB2312" w:eastAsia="仿宋_GB2312"/>
          <w:sz w:val="32"/>
          <w:szCs w:val="32"/>
        </w:rPr>
      </w:pPr>
      <w:r w:rsidRPr="00AA2F8F">
        <w:rPr>
          <w:rFonts w:ascii="黑体" w:eastAsia="黑体" w:hAnsi="黑体" w:hint="eastAsia"/>
          <w:sz w:val="32"/>
          <w:szCs w:val="32"/>
        </w:rPr>
        <w:t>六、</w:t>
      </w:r>
      <w:r w:rsidR="001170EF" w:rsidRPr="00AA2F8F">
        <w:rPr>
          <w:rFonts w:ascii="黑体" w:eastAsia="黑体" w:hAnsi="黑体" w:hint="eastAsia"/>
          <w:sz w:val="32"/>
          <w:szCs w:val="32"/>
        </w:rPr>
        <w:t>敲入观察日、敲入价格与敲入事件。</w:t>
      </w:r>
      <w:r w:rsidR="001170EF" w:rsidRPr="00AA2F8F">
        <w:rPr>
          <w:rFonts w:ascii="仿宋_GB2312" w:eastAsia="仿宋_GB2312" w:hint="eastAsia"/>
          <w:sz w:val="32"/>
          <w:szCs w:val="32"/>
        </w:rPr>
        <w:t>雪球产品将在敲入观察日时将标的的表现与敲入价格进行对比，如果</w:t>
      </w:r>
      <w:r w:rsidR="001170EF" w:rsidRPr="00AA2F8F">
        <w:rPr>
          <w:rFonts w:ascii="仿宋_GB2312" w:eastAsia="仿宋_GB2312" w:hint="eastAsia"/>
          <w:b/>
          <w:bCs/>
          <w:sz w:val="32"/>
          <w:szCs w:val="32"/>
        </w:rPr>
        <w:t>标的价格低于敲入价格</w:t>
      </w:r>
      <w:r w:rsidR="001170EF" w:rsidRPr="00AA2F8F">
        <w:rPr>
          <w:rFonts w:ascii="仿宋_GB2312" w:eastAsia="仿宋_GB2312" w:hint="eastAsia"/>
          <w:sz w:val="32"/>
          <w:szCs w:val="32"/>
        </w:rPr>
        <w:t>，则触发</w:t>
      </w:r>
      <w:r w:rsidR="001170EF" w:rsidRPr="00AA2F8F">
        <w:rPr>
          <w:rFonts w:ascii="仿宋_GB2312" w:eastAsia="仿宋_GB2312" w:hint="eastAsia"/>
          <w:b/>
          <w:bCs/>
          <w:sz w:val="32"/>
          <w:szCs w:val="32"/>
        </w:rPr>
        <w:t>敲入事件</w:t>
      </w:r>
      <w:r w:rsidR="001170EF" w:rsidRPr="00AA2F8F">
        <w:rPr>
          <w:rFonts w:ascii="仿宋_GB2312" w:eastAsia="仿宋_GB2312" w:hint="eastAsia"/>
          <w:sz w:val="32"/>
          <w:szCs w:val="32"/>
        </w:rPr>
        <w:t>。敲入观察日通常为每</w:t>
      </w:r>
      <w:r w:rsidR="001170EF" w:rsidRPr="00AA2F8F">
        <w:rPr>
          <w:rFonts w:ascii="仿宋_GB2312" w:eastAsia="仿宋_GB2312" w:hint="eastAsia"/>
          <w:sz w:val="32"/>
          <w:szCs w:val="32"/>
        </w:rPr>
        <w:lastRenderedPageBreak/>
        <w:t>个交易日</w:t>
      </w:r>
      <w:r w:rsidR="0037305C">
        <w:rPr>
          <w:rFonts w:ascii="仿宋_GB2312" w:eastAsia="仿宋_GB2312" w:hint="eastAsia"/>
          <w:sz w:val="32"/>
          <w:szCs w:val="32"/>
        </w:rPr>
        <w:t>，常见</w:t>
      </w:r>
      <w:r w:rsidR="001170EF" w:rsidRPr="00AA2F8F">
        <w:rPr>
          <w:rFonts w:ascii="仿宋_GB2312" w:eastAsia="仿宋_GB2312" w:hint="eastAsia"/>
          <w:sz w:val="32"/>
          <w:szCs w:val="32"/>
        </w:rPr>
        <w:t>敲入价格</w:t>
      </w:r>
      <w:r w:rsidR="0037305C">
        <w:rPr>
          <w:rFonts w:ascii="仿宋_GB2312" w:eastAsia="仿宋_GB2312" w:hint="eastAsia"/>
          <w:sz w:val="32"/>
          <w:szCs w:val="32"/>
        </w:rPr>
        <w:t>有</w:t>
      </w:r>
      <w:r w:rsidR="001170EF" w:rsidRPr="00AA2F8F">
        <w:rPr>
          <w:rFonts w:ascii="仿宋_GB2312" w:eastAsia="仿宋_GB2312" w:hint="eastAsia"/>
          <w:sz w:val="32"/>
          <w:szCs w:val="32"/>
        </w:rPr>
        <w:t>期初价格*80%、期初价格*70%等。</w:t>
      </w:r>
    </w:p>
    <w:p w14:paraId="5852A0BF" w14:textId="77777777" w:rsidR="00FE7712" w:rsidRDefault="00AA2F8F" w:rsidP="00FE7712">
      <w:pPr>
        <w:ind w:firstLineChars="200" w:firstLine="640"/>
        <w:rPr>
          <w:rFonts w:ascii="仿宋_GB2312" w:eastAsia="仿宋_GB2312"/>
          <w:b/>
          <w:bCs/>
          <w:sz w:val="32"/>
          <w:szCs w:val="32"/>
        </w:rPr>
      </w:pPr>
      <w:r w:rsidRPr="00AA2F8F">
        <w:rPr>
          <w:rFonts w:ascii="黑体" w:eastAsia="黑体" w:hAnsi="黑体" w:hint="eastAsia"/>
          <w:sz w:val="32"/>
          <w:szCs w:val="32"/>
        </w:rPr>
        <w:t>七、</w:t>
      </w:r>
      <w:r w:rsidR="001170EF" w:rsidRPr="00AA2F8F">
        <w:rPr>
          <w:rFonts w:ascii="黑体" w:eastAsia="黑体" w:hAnsi="黑体" w:hint="eastAsia"/>
          <w:sz w:val="32"/>
          <w:szCs w:val="32"/>
        </w:rPr>
        <w:t>产品票息（年化）。</w:t>
      </w:r>
      <w:r w:rsidR="001170EF" w:rsidRPr="00AA2F8F">
        <w:rPr>
          <w:rFonts w:ascii="仿宋_GB2312" w:eastAsia="仿宋_GB2312" w:hint="eastAsia"/>
          <w:sz w:val="32"/>
          <w:szCs w:val="32"/>
        </w:rPr>
        <w:t>即产品持有期内触发敲出事件或未敲入且未敲出情况下投资者获得的年化收益率，不同产品的年化收益率有所不同，</w:t>
      </w:r>
      <w:r w:rsidR="005D17A8" w:rsidRPr="00AA2F8F">
        <w:rPr>
          <w:rFonts w:ascii="仿宋_GB2312" w:eastAsia="仿宋_GB2312" w:hint="eastAsia"/>
          <w:sz w:val="32"/>
          <w:szCs w:val="32"/>
        </w:rPr>
        <w:t>有20%、18%、15%等</w:t>
      </w:r>
      <w:r w:rsidR="001170EF" w:rsidRPr="00AA2F8F">
        <w:rPr>
          <w:rFonts w:ascii="仿宋_GB2312" w:eastAsia="仿宋_GB2312" w:hint="eastAsia"/>
          <w:sz w:val="32"/>
          <w:szCs w:val="32"/>
        </w:rPr>
        <w:t>。通常情况下，保本或有限损失型的雪球产品年化收益率会低于非保本型雪球产品；敲入价格较高的雪球产品年化收益率高于敲入价格较低的雪球产品。简单来说，投资者潜在损失越小、敲出事件越容易</w:t>
      </w:r>
      <w:r w:rsidR="00192ABD">
        <w:rPr>
          <w:rFonts w:ascii="仿宋_GB2312" w:eastAsia="仿宋_GB2312" w:hint="eastAsia"/>
          <w:sz w:val="32"/>
          <w:szCs w:val="32"/>
        </w:rPr>
        <w:t>触发</w:t>
      </w:r>
      <w:r w:rsidR="001170EF" w:rsidRPr="00AA2F8F">
        <w:rPr>
          <w:rFonts w:ascii="仿宋_GB2312" w:eastAsia="仿宋_GB2312" w:hint="eastAsia"/>
          <w:sz w:val="32"/>
          <w:szCs w:val="32"/>
        </w:rPr>
        <w:t>、敲入事件越不容易</w:t>
      </w:r>
      <w:r w:rsidR="00192ABD">
        <w:rPr>
          <w:rFonts w:ascii="仿宋_GB2312" w:eastAsia="仿宋_GB2312" w:hint="eastAsia"/>
          <w:sz w:val="32"/>
          <w:szCs w:val="32"/>
        </w:rPr>
        <w:t>触发</w:t>
      </w:r>
      <w:r w:rsidR="001170EF" w:rsidRPr="00AA2F8F">
        <w:rPr>
          <w:rFonts w:ascii="仿宋_GB2312" w:eastAsia="仿宋_GB2312" w:hint="eastAsia"/>
          <w:sz w:val="32"/>
          <w:szCs w:val="32"/>
        </w:rPr>
        <w:t>的产品，年化收益率越低。</w:t>
      </w:r>
      <w:r w:rsidR="0025267F" w:rsidRPr="00AA2F8F">
        <w:rPr>
          <w:rFonts w:ascii="仿宋_GB2312" w:eastAsia="仿宋_GB2312" w:hint="eastAsia"/>
          <w:sz w:val="32"/>
          <w:szCs w:val="32"/>
        </w:rPr>
        <w:t>在满足获得年化收益率的前提下，</w:t>
      </w:r>
      <w:r w:rsidR="001170EF" w:rsidRPr="00AA2F8F">
        <w:rPr>
          <w:rFonts w:ascii="仿宋_GB2312" w:eastAsia="仿宋_GB2312" w:hint="eastAsia"/>
          <w:sz w:val="32"/>
          <w:szCs w:val="32"/>
        </w:rPr>
        <w:t>投资者最终获得的绝对收益取决于产品的持有</w:t>
      </w:r>
      <w:r w:rsidR="0025267F" w:rsidRPr="00AA2F8F">
        <w:rPr>
          <w:rFonts w:ascii="仿宋_GB2312" w:eastAsia="仿宋_GB2312" w:hint="eastAsia"/>
          <w:sz w:val="32"/>
          <w:szCs w:val="32"/>
        </w:rPr>
        <w:t>期限的长短，</w:t>
      </w:r>
      <w:r w:rsidR="001170EF" w:rsidRPr="00AA2F8F">
        <w:rPr>
          <w:rFonts w:ascii="仿宋_GB2312" w:eastAsia="仿宋_GB2312" w:hint="eastAsia"/>
          <w:sz w:val="32"/>
          <w:szCs w:val="32"/>
        </w:rPr>
        <w:t>假设投资者</w:t>
      </w:r>
      <w:r w:rsidR="0025267F" w:rsidRPr="00AA2F8F">
        <w:rPr>
          <w:rFonts w:ascii="仿宋_GB2312" w:eastAsia="仿宋_GB2312" w:hint="eastAsia"/>
          <w:sz w:val="32"/>
          <w:szCs w:val="32"/>
        </w:rPr>
        <w:t>A投资了一款年化收益率为20%的雪球产品，但产品在第三个月就敲出结束了，那么投资者的绝对收益率为20%*3/12=5%。</w:t>
      </w:r>
      <w:r w:rsidR="0025267F" w:rsidRPr="0037305C">
        <w:rPr>
          <w:rFonts w:ascii="仿宋_GB2312" w:eastAsia="仿宋_GB2312" w:hint="eastAsia"/>
          <w:b/>
          <w:bCs/>
          <w:sz w:val="32"/>
          <w:szCs w:val="32"/>
        </w:rPr>
        <w:t>也就是说，虽然产品约定的年化收益率很高，但如果产品过早敲出，投资者获得的绝对收益率也并不高</w:t>
      </w:r>
      <w:r w:rsidR="0037305C">
        <w:rPr>
          <w:rFonts w:ascii="仿宋_GB2312" w:eastAsia="仿宋_GB2312" w:hint="eastAsia"/>
          <w:b/>
          <w:bCs/>
          <w:sz w:val="32"/>
          <w:szCs w:val="32"/>
        </w:rPr>
        <w:t>。</w:t>
      </w:r>
    </w:p>
    <w:p w14:paraId="341A48DD" w14:textId="77777777" w:rsidR="00FE7712" w:rsidRDefault="00FE7712" w:rsidP="00FE7712">
      <w:pPr>
        <w:ind w:firstLineChars="200" w:firstLine="640"/>
        <w:rPr>
          <w:rFonts w:ascii="仿宋_GB2312" w:eastAsia="仿宋_GB2312"/>
          <w:sz w:val="32"/>
          <w:szCs w:val="32"/>
        </w:rPr>
      </w:pPr>
    </w:p>
    <w:p w14:paraId="79049ACF" w14:textId="63BBBBA3" w:rsidR="00FE7712" w:rsidRPr="00FE7712" w:rsidRDefault="00FE7712" w:rsidP="00FE7712">
      <w:pPr>
        <w:ind w:firstLineChars="200" w:firstLine="640"/>
        <w:rPr>
          <w:rFonts w:ascii="仿宋_GB2312" w:eastAsia="仿宋_GB2312"/>
          <w:sz w:val="32"/>
          <w:szCs w:val="32"/>
        </w:rPr>
      </w:pPr>
      <w:r w:rsidRPr="00FE7712">
        <w:rPr>
          <w:rFonts w:ascii="仿宋_GB2312" w:eastAsia="仿宋_GB2312" w:hint="eastAsia"/>
          <w:sz w:val="32"/>
          <w:szCs w:val="32"/>
        </w:rPr>
        <w:t xml:space="preserve">免责声明： </w:t>
      </w:r>
    </w:p>
    <w:p w14:paraId="27411B4C" w14:textId="6F6A084B" w:rsidR="00FE7712" w:rsidRPr="00FE7712" w:rsidRDefault="00FE7712" w:rsidP="00FE7712">
      <w:pPr>
        <w:ind w:firstLineChars="200" w:firstLine="640"/>
        <w:rPr>
          <w:rFonts w:ascii="仿宋_GB2312" w:eastAsia="仿宋_GB2312" w:hint="eastAsia"/>
          <w:sz w:val="32"/>
          <w:szCs w:val="32"/>
        </w:rPr>
      </w:pPr>
      <w:r w:rsidRPr="00FE7712">
        <w:rPr>
          <w:rFonts w:ascii="仿宋_GB2312" w:eastAsia="仿宋_GB2312" w:hint="eastAsia"/>
          <w:sz w:val="32"/>
          <w:szCs w:val="32"/>
        </w:rPr>
        <w:t xml:space="preserve">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 </w:t>
      </w:r>
      <w:r>
        <w:rPr>
          <w:rFonts w:ascii="仿宋_GB2312" w:eastAsia="仿宋_GB2312" w:hint="eastAsia"/>
          <w:sz w:val="32"/>
          <w:szCs w:val="32"/>
        </w:rPr>
        <w:t xml:space="preserve"> </w:t>
      </w:r>
      <w:r>
        <w:rPr>
          <w:rFonts w:ascii="仿宋_GB2312" w:eastAsia="仿宋_GB2312"/>
          <w:sz w:val="32"/>
          <w:szCs w:val="32"/>
        </w:rPr>
        <w:t xml:space="preserve">   </w:t>
      </w:r>
    </w:p>
    <w:sectPr w:rsidR="00FE7712" w:rsidRPr="00FE77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2C75" w14:textId="77777777" w:rsidR="00EB1423" w:rsidRDefault="00EB1423" w:rsidP="00E87669">
      <w:r>
        <w:separator/>
      </w:r>
    </w:p>
  </w:endnote>
  <w:endnote w:type="continuationSeparator" w:id="0">
    <w:p w14:paraId="2974065E" w14:textId="77777777" w:rsidR="00EB1423" w:rsidRDefault="00EB1423" w:rsidP="00E8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E28F" w14:textId="77777777" w:rsidR="00EB1423" w:rsidRDefault="00EB1423" w:rsidP="00E87669">
      <w:r>
        <w:separator/>
      </w:r>
    </w:p>
  </w:footnote>
  <w:footnote w:type="continuationSeparator" w:id="0">
    <w:p w14:paraId="14A16F04" w14:textId="77777777" w:rsidR="00EB1423" w:rsidRDefault="00EB1423" w:rsidP="00E87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D55"/>
    <w:multiLevelType w:val="hybridMultilevel"/>
    <w:tmpl w:val="66BCCE7C"/>
    <w:lvl w:ilvl="0" w:tplc="1B1A0DAC">
      <w:start w:val="1"/>
      <w:numFmt w:val="chineseCountingThousand"/>
      <w:lvlText w:val="%1、"/>
      <w:lvlJc w:val="left"/>
      <w:pPr>
        <w:ind w:left="840" w:hanging="420"/>
      </w:pPr>
      <w:rPr>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C8"/>
    <w:rsid w:val="000D5FCC"/>
    <w:rsid w:val="001170EF"/>
    <w:rsid w:val="001521C2"/>
    <w:rsid w:val="00192ABD"/>
    <w:rsid w:val="001B2BF1"/>
    <w:rsid w:val="0022638A"/>
    <w:rsid w:val="0025267F"/>
    <w:rsid w:val="00341C6E"/>
    <w:rsid w:val="0037305C"/>
    <w:rsid w:val="0043500B"/>
    <w:rsid w:val="00436E82"/>
    <w:rsid w:val="0044457E"/>
    <w:rsid w:val="004C72C8"/>
    <w:rsid w:val="004D0913"/>
    <w:rsid w:val="004D1342"/>
    <w:rsid w:val="005756C0"/>
    <w:rsid w:val="00576BCC"/>
    <w:rsid w:val="005D17A8"/>
    <w:rsid w:val="006C7CD9"/>
    <w:rsid w:val="006F6459"/>
    <w:rsid w:val="00707A57"/>
    <w:rsid w:val="007A4DAB"/>
    <w:rsid w:val="008F4970"/>
    <w:rsid w:val="009D00C3"/>
    <w:rsid w:val="009E3890"/>
    <w:rsid w:val="00A453F4"/>
    <w:rsid w:val="00AA2F8F"/>
    <w:rsid w:val="00B22C50"/>
    <w:rsid w:val="00B67B91"/>
    <w:rsid w:val="00CF1C28"/>
    <w:rsid w:val="00E519DA"/>
    <w:rsid w:val="00E87669"/>
    <w:rsid w:val="00EB1423"/>
    <w:rsid w:val="00F53935"/>
    <w:rsid w:val="00FE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B0ED"/>
  <w15:chartTrackingRefBased/>
  <w15:docId w15:val="{893B6B24-B4EA-4930-9E60-019326A2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7669"/>
    <w:rPr>
      <w:sz w:val="18"/>
      <w:szCs w:val="18"/>
    </w:rPr>
  </w:style>
  <w:style w:type="paragraph" w:styleId="a5">
    <w:name w:val="footer"/>
    <w:basedOn w:val="a"/>
    <w:link w:val="a6"/>
    <w:uiPriority w:val="99"/>
    <w:unhideWhenUsed/>
    <w:rsid w:val="00E87669"/>
    <w:pPr>
      <w:tabs>
        <w:tab w:val="center" w:pos="4153"/>
        <w:tab w:val="right" w:pos="8306"/>
      </w:tabs>
      <w:snapToGrid w:val="0"/>
      <w:jc w:val="left"/>
    </w:pPr>
    <w:rPr>
      <w:sz w:val="18"/>
      <w:szCs w:val="18"/>
    </w:rPr>
  </w:style>
  <w:style w:type="character" w:customStyle="1" w:styleId="a6">
    <w:name w:val="页脚 字符"/>
    <w:basedOn w:val="a0"/>
    <w:link w:val="a5"/>
    <w:uiPriority w:val="99"/>
    <w:rsid w:val="00E87669"/>
    <w:rPr>
      <w:sz w:val="18"/>
      <w:szCs w:val="18"/>
    </w:rPr>
  </w:style>
  <w:style w:type="table" w:styleId="a7">
    <w:name w:val="Table Grid"/>
    <w:basedOn w:val="a1"/>
    <w:uiPriority w:val="39"/>
    <w:rsid w:val="00E8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669"/>
    <w:pPr>
      <w:ind w:firstLineChars="200" w:firstLine="420"/>
    </w:pPr>
  </w:style>
  <w:style w:type="table" w:styleId="5-1">
    <w:name w:val="Grid Table 5 Dark Accent 1"/>
    <w:basedOn w:val="a1"/>
    <w:uiPriority w:val="50"/>
    <w:rsid w:val="007A4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209">
      <w:bodyDiv w:val="1"/>
      <w:marLeft w:val="0"/>
      <w:marRight w:val="0"/>
      <w:marTop w:val="0"/>
      <w:marBottom w:val="0"/>
      <w:divBdr>
        <w:top w:val="none" w:sz="0" w:space="0" w:color="auto"/>
        <w:left w:val="none" w:sz="0" w:space="0" w:color="auto"/>
        <w:bottom w:val="none" w:sz="0" w:space="0" w:color="auto"/>
        <w:right w:val="none" w:sz="0" w:space="0" w:color="auto"/>
      </w:divBdr>
      <w:divsChild>
        <w:div w:id="638608978">
          <w:marLeft w:val="0"/>
          <w:marRight w:val="0"/>
          <w:marTop w:val="0"/>
          <w:marBottom w:val="0"/>
          <w:divBdr>
            <w:top w:val="none" w:sz="0" w:space="0" w:color="auto"/>
            <w:left w:val="none" w:sz="0" w:space="0" w:color="auto"/>
            <w:bottom w:val="none" w:sz="0" w:space="0" w:color="auto"/>
            <w:right w:val="none" w:sz="0" w:space="0" w:color="auto"/>
          </w:divBdr>
          <w:divsChild>
            <w:div w:id="15933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5534">
      <w:bodyDiv w:val="1"/>
      <w:marLeft w:val="0"/>
      <w:marRight w:val="0"/>
      <w:marTop w:val="0"/>
      <w:marBottom w:val="0"/>
      <w:divBdr>
        <w:top w:val="none" w:sz="0" w:space="0" w:color="auto"/>
        <w:left w:val="none" w:sz="0" w:space="0" w:color="auto"/>
        <w:bottom w:val="none" w:sz="0" w:space="0" w:color="auto"/>
        <w:right w:val="none" w:sz="0" w:space="0" w:color="auto"/>
      </w:divBdr>
      <w:divsChild>
        <w:div w:id="1818301114">
          <w:marLeft w:val="0"/>
          <w:marRight w:val="0"/>
          <w:marTop w:val="0"/>
          <w:marBottom w:val="0"/>
          <w:divBdr>
            <w:top w:val="none" w:sz="0" w:space="0" w:color="auto"/>
            <w:left w:val="none" w:sz="0" w:space="0" w:color="auto"/>
            <w:bottom w:val="none" w:sz="0" w:space="0" w:color="auto"/>
            <w:right w:val="none" w:sz="0" w:space="0" w:color="auto"/>
          </w:divBdr>
          <w:divsChild>
            <w:div w:id="14411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0073">
      <w:bodyDiv w:val="1"/>
      <w:marLeft w:val="0"/>
      <w:marRight w:val="0"/>
      <w:marTop w:val="0"/>
      <w:marBottom w:val="0"/>
      <w:divBdr>
        <w:top w:val="none" w:sz="0" w:space="0" w:color="auto"/>
        <w:left w:val="none" w:sz="0" w:space="0" w:color="auto"/>
        <w:bottom w:val="none" w:sz="0" w:space="0" w:color="auto"/>
        <w:right w:val="none" w:sz="0" w:space="0" w:color="auto"/>
      </w:divBdr>
      <w:divsChild>
        <w:div w:id="988483419">
          <w:marLeft w:val="0"/>
          <w:marRight w:val="0"/>
          <w:marTop w:val="0"/>
          <w:marBottom w:val="0"/>
          <w:divBdr>
            <w:top w:val="none" w:sz="0" w:space="0" w:color="auto"/>
            <w:left w:val="none" w:sz="0" w:space="0" w:color="auto"/>
            <w:bottom w:val="none" w:sz="0" w:space="0" w:color="auto"/>
            <w:right w:val="none" w:sz="0" w:space="0" w:color="auto"/>
          </w:divBdr>
          <w:divsChild>
            <w:div w:id="7963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8887">
      <w:bodyDiv w:val="1"/>
      <w:marLeft w:val="0"/>
      <w:marRight w:val="0"/>
      <w:marTop w:val="0"/>
      <w:marBottom w:val="0"/>
      <w:divBdr>
        <w:top w:val="none" w:sz="0" w:space="0" w:color="auto"/>
        <w:left w:val="none" w:sz="0" w:space="0" w:color="auto"/>
        <w:bottom w:val="none" w:sz="0" w:space="0" w:color="auto"/>
        <w:right w:val="none" w:sz="0" w:space="0" w:color="auto"/>
      </w:divBdr>
      <w:divsChild>
        <w:div w:id="534581112">
          <w:marLeft w:val="0"/>
          <w:marRight w:val="0"/>
          <w:marTop w:val="0"/>
          <w:marBottom w:val="0"/>
          <w:divBdr>
            <w:top w:val="none" w:sz="0" w:space="0" w:color="auto"/>
            <w:left w:val="none" w:sz="0" w:space="0" w:color="auto"/>
            <w:bottom w:val="none" w:sz="0" w:space="0" w:color="auto"/>
            <w:right w:val="none" w:sz="0" w:space="0" w:color="auto"/>
          </w:divBdr>
          <w:divsChild>
            <w:div w:id="66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3394">
      <w:bodyDiv w:val="1"/>
      <w:marLeft w:val="0"/>
      <w:marRight w:val="0"/>
      <w:marTop w:val="0"/>
      <w:marBottom w:val="0"/>
      <w:divBdr>
        <w:top w:val="none" w:sz="0" w:space="0" w:color="auto"/>
        <w:left w:val="none" w:sz="0" w:space="0" w:color="auto"/>
        <w:bottom w:val="none" w:sz="0" w:space="0" w:color="auto"/>
        <w:right w:val="none" w:sz="0" w:space="0" w:color="auto"/>
      </w:divBdr>
    </w:div>
    <w:div w:id="21456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马雪程</cp:lastModifiedBy>
  <cp:revision>19</cp:revision>
  <dcterms:created xsi:type="dcterms:W3CDTF">2021-08-11T13:39:00Z</dcterms:created>
  <dcterms:modified xsi:type="dcterms:W3CDTF">2021-08-17T07:35:00Z</dcterms:modified>
</cp:coreProperties>
</file>